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36048" w14:textId="77777777" w:rsidR="00FE067E" w:rsidRPr="009B7892" w:rsidRDefault="00CD36CF" w:rsidP="00CC1F3B">
      <w:pPr>
        <w:pStyle w:val="TitlePageOrigin"/>
        <w:rPr>
          <w:color w:val="auto"/>
        </w:rPr>
      </w:pPr>
      <w:r w:rsidRPr="009B7892">
        <w:rPr>
          <w:color w:val="auto"/>
        </w:rPr>
        <w:t>WEST virginia legislature</w:t>
      </w:r>
    </w:p>
    <w:p w14:paraId="5C51729C" w14:textId="77777777" w:rsidR="00CD36CF" w:rsidRPr="009B7892" w:rsidRDefault="00CD36CF" w:rsidP="00CC1F3B">
      <w:pPr>
        <w:pStyle w:val="TitlePageSession"/>
        <w:rPr>
          <w:color w:val="auto"/>
        </w:rPr>
      </w:pPr>
      <w:r w:rsidRPr="009B7892">
        <w:rPr>
          <w:color w:val="auto"/>
        </w:rPr>
        <w:t>20</w:t>
      </w:r>
      <w:r w:rsidR="00CB1ADC" w:rsidRPr="009B7892">
        <w:rPr>
          <w:color w:val="auto"/>
        </w:rPr>
        <w:t>2</w:t>
      </w:r>
      <w:r w:rsidR="004D36C4" w:rsidRPr="009B7892">
        <w:rPr>
          <w:color w:val="auto"/>
        </w:rPr>
        <w:t>1</w:t>
      </w:r>
      <w:r w:rsidRPr="009B7892">
        <w:rPr>
          <w:color w:val="auto"/>
        </w:rPr>
        <w:t xml:space="preserve"> regular session</w:t>
      </w:r>
    </w:p>
    <w:p w14:paraId="3BA6BD50" w14:textId="77777777" w:rsidR="00CD36CF" w:rsidRPr="009B7892" w:rsidRDefault="00BB427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B7892">
            <w:rPr>
              <w:color w:val="auto"/>
            </w:rPr>
            <w:t>Introduced</w:t>
          </w:r>
        </w:sdtContent>
      </w:sdt>
    </w:p>
    <w:p w14:paraId="06B97C75" w14:textId="56D9AF24" w:rsidR="00CD36CF" w:rsidRPr="009B7892" w:rsidRDefault="00BB427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605AA" w:rsidRPr="009B7892">
            <w:rPr>
              <w:color w:val="auto"/>
            </w:rPr>
            <w:t>Senate</w:t>
          </w:r>
        </w:sdtContent>
      </w:sdt>
      <w:r w:rsidR="00303684" w:rsidRPr="009B7892">
        <w:rPr>
          <w:color w:val="auto"/>
        </w:rPr>
        <w:t xml:space="preserve"> </w:t>
      </w:r>
      <w:r w:rsidR="00CD36CF" w:rsidRPr="009B7892">
        <w:rPr>
          <w:color w:val="auto"/>
        </w:rPr>
        <w:t xml:space="preserve">Bill </w:t>
      </w:r>
      <w:sdt>
        <w:sdtPr>
          <w:rPr>
            <w:color w:val="auto"/>
          </w:rPr>
          <w:tag w:val="BNum"/>
          <w:id w:val="1645317809"/>
          <w:lock w:val="sdtLocked"/>
          <w:placeholder>
            <w:docPart w:val="7CD44D7481684EFBB2169CAE07E0AB86"/>
          </w:placeholder>
          <w:text/>
        </w:sdtPr>
        <w:sdtEndPr/>
        <w:sdtContent>
          <w:r w:rsidR="00A82557">
            <w:rPr>
              <w:color w:val="auto"/>
            </w:rPr>
            <w:t>54</w:t>
          </w:r>
        </w:sdtContent>
      </w:sdt>
    </w:p>
    <w:p w14:paraId="14E8588B" w14:textId="0EDAB88E" w:rsidR="00CD36CF" w:rsidRPr="009B7892" w:rsidRDefault="00CD36CF" w:rsidP="00CC1F3B">
      <w:pPr>
        <w:pStyle w:val="Sponsors"/>
        <w:rPr>
          <w:color w:val="auto"/>
        </w:rPr>
      </w:pPr>
      <w:r w:rsidRPr="009B7892">
        <w:rPr>
          <w:color w:val="auto"/>
        </w:rPr>
        <w:t xml:space="preserve">By </w:t>
      </w:r>
      <w:sdt>
        <w:sdtPr>
          <w:rPr>
            <w:color w:val="auto"/>
          </w:rPr>
          <w:tag w:val="Sponsors"/>
          <w:id w:val="1589585889"/>
          <w:placeholder>
            <w:docPart w:val="BC6A277E70A54C5D83F0F91084EB54B0"/>
          </w:placeholder>
          <w:text w:multiLine="1"/>
        </w:sdtPr>
        <w:sdtEndPr/>
        <w:sdtContent>
          <w:r w:rsidR="007B510A" w:rsidRPr="009B7892">
            <w:rPr>
              <w:color w:val="auto"/>
            </w:rPr>
            <w:t>Senator</w:t>
          </w:r>
          <w:r w:rsidR="007B510A">
            <w:rPr>
              <w:color w:val="auto"/>
            </w:rPr>
            <w:t>s</w:t>
          </w:r>
          <w:r w:rsidR="007B510A" w:rsidRPr="009B7892">
            <w:rPr>
              <w:color w:val="auto"/>
            </w:rPr>
            <w:t xml:space="preserve"> Sypolt</w:t>
          </w:r>
          <w:r w:rsidR="007B510A">
            <w:rPr>
              <w:color w:val="auto"/>
            </w:rPr>
            <w:t>, Roberts, Woodrum</w:t>
          </w:r>
          <w:r w:rsidR="007B510A" w:rsidRPr="004F768E">
            <w:rPr>
              <w:color w:val="auto"/>
            </w:rPr>
            <w:t>, Swope</w:t>
          </w:r>
          <w:r w:rsidR="009F5FB3">
            <w:rPr>
              <w:color w:val="auto"/>
            </w:rPr>
            <w:t>, Grady</w:t>
          </w:r>
          <w:r w:rsidR="006D207D">
            <w:rPr>
              <w:color w:val="auto"/>
            </w:rPr>
            <w:t>, Karnes</w:t>
          </w:r>
          <w:r w:rsidR="00511A61">
            <w:rPr>
              <w:color w:val="auto"/>
            </w:rPr>
            <w:t>, Azinger</w:t>
          </w:r>
          <w:r w:rsidR="00BB4275">
            <w:rPr>
              <w:color w:val="auto"/>
            </w:rPr>
            <w:t>, and Rucker</w:t>
          </w:r>
        </w:sdtContent>
      </w:sdt>
    </w:p>
    <w:p w14:paraId="30997D47" w14:textId="728E3E65" w:rsidR="00E831B3" w:rsidRPr="009B7892" w:rsidRDefault="00CD36CF" w:rsidP="00CC1F3B">
      <w:pPr>
        <w:pStyle w:val="References"/>
        <w:rPr>
          <w:color w:val="auto"/>
        </w:rPr>
      </w:pPr>
      <w:r w:rsidRPr="009B7892">
        <w:rPr>
          <w:color w:val="auto"/>
        </w:rPr>
        <w:t>[</w:t>
      </w:r>
      <w:sdt>
        <w:sdtPr>
          <w:rPr>
            <w:color w:val="auto"/>
          </w:rPr>
          <w:tag w:val="References"/>
          <w:id w:val="-1043047873"/>
          <w:placeholder>
            <w:docPart w:val="460D713500284C7FB4932CF3609CC106"/>
          </w:placeholder>
          <w:text w:multiLine="1"/>
        </w:sdtPr>
        <w:sdtEndPr/>
        <w:sdtContent>
          <w:r w:rsidR="00A82557" w:rsidRPr="009B7892">
            <w:rPr>
              <w:color w:val="auto"/>
            </w:rPr>
            <w:t>Introduced</w:t>
          </w:r>
          <w:r w:rsidR="00A82557">
            <w:rPr>
              <w:color w:val="auto"/>
            </w:rPr>
            <w:t xml:space="preserve"> </w:t>
          </w:r>
          <w:r w:rsidR="00A82557" w:rsidRPr="009E4B7E">
            <w:rPr>
              <w:color w:val="auto"/>
            </w:rPr>
            <w:t>February 10, 2021; referred</w:t>
          </w:r>
          <w:r w:rsidR="00A82557" w:rsidRPr="009B7892">
            <w:rPr>
              <w:color w:val="auto"/>
            </w:rPr>
            <w:br/>
            <w:t>to the Committee on</w:t>
          </w:r>
          <w:r w:rsidR="00D31122">
            <w:rPr>
              <w:color w:val="auto"/>
            </w:rPr>
            <w:t xml:space="preserve"> the Judiciary; and then to the Committee on Finance</w:t>
          </w:r>
        </w:sdtContent>
      </w:sdt>
      <w:r w:rsidRPr="009B7892">
        <w:rPr>
          <w:color w:val="auto"/>
        </w:rPr>
        <w:t>]</w:t>
      </w:r>
    </w:p>
    <w:p w14:paraId="3B28AED9" w14:textId="577FE71D" w:rsidR="001605AA" w:rsidRPr="009B7892" w:rsidRDefault="0000526A" w:rsidP="001605AA">
      <w:pPr>
        <w:pStyle w:val="TitleSection"/>
        <w:rPr>
          <w:color w:val="auto"/>
        </w:rPr>
      </w:pPr>
      <w:r w:rsidRPr="009B7892">
        <w:rPr>
          <w:color w:val="auto"/>
        </w:rPr>
        <w:lastRenderedPageBreak/>
        <w:t>A BILL</w:t>
      </w:r>
      <w:r w:rsidR="001605AA" w:rsidRPr="009B7892">
        <w:rPr>
          <w:color w:val="auto"/>
        </w:rPr>
        <w:t xml:space="preserve"> to amend and reenact </w:t>
      </w:r>
      <w:r w:rsidR="001605AA" w:rsidRPr="009B7892">
        <w:rPr>
          <w:rFonts w:cs="Arial"/>
          <w:color w:val="auto"/>
        </w:rPr>
        <w:t>§</w:t>
      </w:r>
      <w:r w:rsidR="001605AA" w:rsidRPr="009B7892">
        <w:rPr>
          <w:color w:val="auto"/>
        </w:rPr>
        <w:t xml:space="preserve">3-2-3 of the Code of West Virginia, 1931, as amended; and to amend and reenact </w:t>
      </w:r>
      <w:r w:rsidR="001605AA" w:rsidRPr="009B7892">
        <w:rPr>
          <w:rFonts w:cs="Arial"/>
          <w:color w:val="auto"/>
        </w:rPr>
        <w:t>§17B-2-1 of said code, all relating to permitting photo identification on voter registration identification cards; and providing that voter registration and designation information may also be placed on driver</w:t>
      </w:r>
      <w:r w:rsidR="00A82557">
        <w:rPr>
          <w:rFonts w:cs="Arial"/>
          <w:color w:val="auto"/>
        </w:rPr>
        <w:t>’</w:t>
      </w:r>
      <w:r w:rsidR="001605AA" w:rsidRPr="009B7892">
        <w:rPr>
          <w:rFonts w:cs="Arial"/>
          <w:color w:val="auto"/>
        </w:rPr>
        <w:t xml:space="preserve">s licenses or state-issued identification cards, if so determined by the </w:t>
      </w:r>
      <w:r w:rsidR="001605AA" w:rsidRPr="009B7892">
        <w:rPr>
          <w:rFonts w:cs="Times New Roman"/>
          <w:color w:val="auto"/>
        </w:rPr>
        <w:t>Secretary of State in cooperation with the Commissioner of Motor Vehicles</w:t>
      </w:r>
      <w:r w:rsidR="001605AA" w:rsidRPr="009B7892">
        <w:rPr>
          <w:rFonts w:cs="Arial"/>
          <w:color w:val="auto"/>
        </w:rPr>
        <w:t>.</w:t>
      </w:r>
    </w:p>
    <w:p w14:paraId="22C8981F" w14:textId="77777777" w:rsidR="001605AA" w:rsidRPr="009B7892" w:rsidRDefault="001605AA" w:rsidP="001605AA">
      <w:pPr>
        <w:pStyle w:val="EnactingClause"/>
        <w:rPr>
          <w:color w:val="auto"/>
        </w:rPr>
        <w:sectPr w:rsidR="001605AA" w:rsidRPr="009B7892" w:rsidSect="004215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B7892">
        <w:rPr>
          <w:color w:val="auto"/>
        </w:rPr>
        <w:t>Be it enacted by the Legislature of West Virginia:</w:t>
      </w:r>
    </w:p>
    <w:p w14:paraId="04809636" w14:textId="77777777" w:rsidR="001605AA" w:rsidRPr="009B7892" w:rsidRDefault="001605AA" w:rsidP="001605AA">
      <w:pPr>
        <w:pStyle w:val="ChapterHeading"/>
        <w:rPr>
          <w:color w:val="auto"/>
        </w:rPr>
        <w:sectPr w:rsidR="001605AA" w:rsidRPr="009B7892" w:rsidSect="004215C1">
          <w:type w:val="continuous"/>
          <w:pgSz w:w="12240" w:h="15840" w:code="1"/>
          <w:pgMar w:top="1440" w:right="1440" w:bottom="1440" w:left="1440" w:header="720" w:footer="720" w:gutter="0"/>
          <w:lnNumType w:countBy="1" w:restart="newSection"/>
          <w:cols w:space="720"/>
          <w:titlePg/>
          <w:docGrid w:linePitch="360"/>
        </w:sectPr>
      </w:pPr>
      <w:r w:rsidRPr="009B7892">
        <w:rPr>
          <w:color w:val="auto"/>
        </w:rPr>
        <w:t>CHAPTER 3. ELECTIONS.</w:t>
      </w:r>
    </w:p>
    <w:p w14:paraId="540F4AE4" w14:textId="77777777" w:rsidR="001605AA" w:rsidRPr="009B7892" w:rsidRDefault="001605AA" w:rsidP="001605AA">
      <w:pPr>
        <w:pStyle w:val="ArticleHeading"/>
        <w:rPr>
          <w:color w:val="auto"/>
        </w:rPr>
        <w:sectPr w:rsidR="001605AA" w:rsidRPr="009B7892" w:rsidSect="004215C1">
          <w:type w:val="continuous"/>
          <w:pgSz w:w="12240" w:h="15840" w:code="1"/>
          <w:pgMar w:top="1440" w:right="1440" w:bottom="1440" w:left="1440" w:header="720" w:footer="720" w:gutter="0"/>
          <w:lnNumType w:countBy="1" w:restart="newSection"/>
          <w:cols w:space="720"/>
          <w:titlePg/>
          <w:docGrid w:linePitch="360"/>
        </w:sectPr>
      </w:pPr>
      <w:r w:rsidRPr="009B7892">
        <w:rPr>
          <w:color w:val="auto"/>
        </w:rPr>
        <w:t>ARTICLE 2. REGISTRATION OF VOTERS.</w:t>
      </w:r>
    </w:p>
    <w:p w14:paraId="69B8EC49" w14:textId="77777777" w:rsidR="001605AA" w:rsidRPr="009B7892" w:rsidRDefault="001605AA" w:rsidP="001605AA">
      <w:pPr>
        <w:pStyle w:val="SectionHeading"/>
        <w:rPr>
          <w:color w:val="auto"/>
        </w:rPr>
        <w:sectPr w:rsidR="001605AA" w:rsidRPr="009B7892" w:rsidSect="004215C1">
          <w:type w:val="continuous"/>
          <w:pgSz w:w="12240" w:h="15840" w:code="1"/>
          <w:pgMar w:top="1440" w:right="1440" w:bottom="1440" w:left="1440" w:header="720" w:footer="720" w:gutter="0"/>
          <w:lnNumType w:countBy="1" w:restart="newSection"/>
          <w:cols w:space="720"/>
          <w:titlePg/>
          <w:docGrid w:linePitch="360"/>
        </w:sectPr>
      </w:pPr>
      <w:r w:rsidRPr="009B7892">
        <w:rPr>
          <w:color w:val="auto"/>
        </w:rPr>
        <w:t>§3-2-3. State authority relating to voter registration; chief election official.</w:t>
      </w:r>
    </w:p>
    <w:p w14:paraId="764D9617" w14:textId="77777777" w:rsidR="001605AA" w:rsidRPr="009B7892" w:rsidRDefault="001605AA" w:rsidP="001605AA">
      <w:pPr>
        <w:pStyle w:val="SectionBody"/>
        <w:rPr>
          <w:i/>
          <w:color w:val="auto"/>
        </w:rPr>
      </w:pPr>
      <w:r w:rsidRPr="009B7892">
        <w:rPr>
          <w:color w:val="auto"/>
        </w:rPr>
        <w:t xml:space="preserve">(a) The Secretary of State, as chief election official of the state as provided in §3-1A-6 of this code, </w:t>
      </w:r>
      <w:r w:rsidRPr="009B7892">
        <w:rPr>
          <w:strike/>
          <w:color w:val="auto"/>
        </w:rPr>
        <w:t>shall have</w:t>
      </w:r>
      <w:r w:rsidRPr="009B7892">
        <w:rPr>
          <w:color w:val="auto"/>
        </w:rPr>
        <w:t xml:space="preserve"> </w:t>
      </w:r>
      <w:r w:rsidRPr="009B7892">
        <w:rPr>
          <w:color w:val="auto"/>
          <w:u w:val="single"/>
        </w:rPr>
        <w:t>has</w:t>
      </w:r>
      <w:r w:rsidRPr="009B7892">
        <w:rPr>
          <w:color w:val="auto"/>
        </w:rPr>
        <w:t xml:space="preserve"> general supervision of the voter registration procedures and practices and the maintenance of voter registration records in the state and </w:t>
      </w:r>
      <w:r w:rsidRPr="009B7892">
        <w:rPr>
          <w:strike/>
          <w:color w:val="auto"/>
        </w:rPr>
        <w:t>shall have authority to</w:t>
      </w:r>
      <w:r w:rsidRPr="009B7892">
        <w:rPr>
          <w:color w:val="auto"/>
        </w:rPr>
        <w:t xml:space="preserve"> </w:t>
      </w:r>
      <w:r w:rsidRPr="009B7892">
        <w:rPr>
          <w:color w:val="auto"/>
          <w:u w:val="single"/>
        </w:rPr>
        <w:t>may</w:t>
      </w:r>
      <w:r w:rsidRPr="009B7892">
        <w:rPr>
          <w:color w:val="auto"/>
        </w:rPr>
        <w:t xml:space="preserve"> require reports and investigate violations to ensure the proper conduct of voter registration throughout the state and all of its subdivisions. Upon written notice to the clerk of the county commission of a county of the need for voter registration record maintenance and the failure of that clerk to complete such maintenance within 90 days of the notice</w:t>
      </w:r>
      <w:r w:rsidRPr="009B7892">
        <w:rPr>
          <w:i/>
          <w:color w:val="auto"/>
        </w:rPr>
        <w:t xml:space="preserve">, </w:t>
      </w:r>
      <w:r w:rsidRPr="009B7892">
        <w:rPr>
          <w:color w:val="auto"/>
        </w:rPr>
        <w:t>the Secretary of State may</w:t>
      </w:r>
      <w:r w:rsidRPr="009B7892">
        <w:rPr>
          <w:i/>
          <w:color w:val="auto"/>
        </w:rPr>
        <w:t xml:space="preserve"> </w:t>
      </w:r>
      <w:r w:rsidRPr="009B7892">
        <w:rPr>
          <w:color w:val="auto"/>
        </w:rPr>
        <w:t xml:space="preserve">make changes in the voter registration data necessary to comply with list maintenance requirements of §3-2-4a, §3-2-23, §3-2-25, §3-2-26 and §3-2-27 of this code: </w:t>
      </w:r>
      <w:r w:rsidRPr="009B7892">
        <w:rPr>
          <w:i/>
          <w:color w:val="auto"/>
        </w:rPr>
        <w:t>Provided</w:t>
      </w:r>
      <w:r w:rsidRPr="009B7892">
        <w:rPr>
          <w:color w:val="auto"/>
        </w:rPr>
        <w:t>, That the secretary shall send the notice by certified mail, return receipt requested</w:t>
      </w:r>
      <w:r w:rsidRPr="009B7892">
        <w:rPr>
          <w:i/>
          <w:color w:val="auto"/>
        </w:rPr>
        <w:t>.</w:t>
      </w:r>
    </w:p>
    <w:p w14:paraId="1983EDF0" w14:textId="77777777" w:rsidR="001605AA" w:rsidRPr="009B7892" w:rsidRDefault="001605AA" w:rsidP="001605AA">
      <w:pPr>
        <w:pStyle w:val="SectionBody"/>
        <w:rPr>
          <w:color w:val="auto"/>
        </w:rPr>
      </w:pPr>
      <w:r w:rsidRPr="009B7892">
        <w:rPr>
          <w:color w:val="auto"/>
        </w:rPr>
        <w:t>(b) The Secretary of State, as chief election official of the state, is responsible for implementing, in a uniform and nondiscriminatory manner, a single, uniform, official, centralized, interactive computerized statewide voter registration list defined, maintained and administered at the state level that contains the name and registration information of every legally registered voter in the state and assigns a unique identifier to each legally registered voter in the state.</w:t>
      </w:r>
    </w:p>
    <w:p w14:paraId="754BD425" w14:textId="3890B33B" w:rsidR="001605AA" w:rsidRPr="009B7892" w:rsidRDefault="001605AA" w:rsidP="001605AA">
      <w:pPr>
        <w:pStyle w:val="SectionBody"/>
        <w:rPr>
          <w:color w:val="auto"/>
        </w:rPr>
      </w:pPr>
      <w:r w:rsidRPr="009B7892">
        <w:rPr>
          <w:color w:val="auto"/>
        </w:rPr>
        <w:lastRenderedPageBreak/>
        <w:t xml:space="preserve">(c) The Secretary of State is hereby designated as the chief election official responsible for the coordination of this state's responsibilities under 42 U.S.C. §1973gg, </w:t>
      </w:r>
      <w:r w:rsidRPr="009B7892">
        <w:rPr>
          <w:i/>
          <w:iCs/>
          <w:color w:val="auto"/>
        </w:rPr>
        <w:t>et seq</w:t>
      </w:r>
      <w:r w:rsidRPr="009B7892">
        <w:rPr>
          <w:color w:val="auto"/>
        </w:rPr>
        <w:t xml:space="preserve">., the “National Voter Registration Act of 1993”. The Secretary of State </w:t>
      </w:r>
      <w:r w:rsidRPr="009B7892">
        <w:rPr>
          <w:strike/>
          <w:color w:val="auto"/>
        </w:rPr>
        <w:t>shall have</w:t>
      </w:r>
      <w:r w:rsidRPr="009B7892">
        <w:rPr>
          <w:color w:val="auto"/>
        </w:rPr>
        <w:t xml:space="preserve"> </w:t>
      </w:r>
      <w:r w:rsidRPr="009B7892">
        <w:rPr>
          <w:color w:val="auto"/>
          <w:u w:val="single"/>
        </w:rPr>
        <w:t>has</w:t>
      </w:r>
      <w:r w:rsidRPr="009B7892">
        <w:rPr>
          <w:color w:val="auto"/>
        </w:rPr>
        <w:t xml:space="preserve"> general supervision of voter registration procedures and practices at agencies and locations providing services as required by the provisions of this article and </w:t>
      </w:r>
      <w:r w:rsidRPr="009B7892">
        <w:rPr>
          <w:strike/>
          <w:color w:val="auto"/>
        </w:rPr>
        <w:t>shall have the authority to</w:t>
      </w:r>
      <w:r w:rsidRPr="009B7892">
        <w:rPr>
          <w:color w:val="auto"/>
        </w:rPr>
        <w:t xml:space="preserve"> </w:t>
      </w:r>
      <w:r w:rsidRPr="009B7892">
        <w:rPr>
          <w:color w:val="auto"/>
          <w:u w:val="single"/>
        </w:rPr>
        <w:t>may</w:t>
      </w:r>
      <w:r w:rsidRPr="009B7892">
        <w:rPr>
          <w:color w:val="auto"/>
        </w:rPr>
        <w:t xml:space="preserve"> propose procedural, interpretive and legislative rules for </w:t>
      </w:r>
      <w:r w:rsidRPr="009B7892">
        <w:rPr>
          <w:strike/>
          <w:color w:val="auto"/>
        </w:rPr>
        <w:t>promulgation</w:t>
      </w:r>
      <w:r w:rsidRPr="009B7892">
        <w:rPr>
          <w:color w:val="auto"/>
        </w:rPr>
        <w:t xml:space="preserve"> </w:t>
      </w:r>
      <w:r w:rsidRPr="009B7892">
        <w:rPr>
          <w:color w:val="auto"/>
          <w:u w:val="single"/>
        </w:rPr>
        <w:t>legislative approval</w:t>
      </w:r>
      <w:r w:rsidRPr="009B7892">
        <w:rPr>
          <w:color w:val="auto"/>
        </w:rPr>
        <w:t xml:space="preserve"> in accordance with t</w:t>
      </w:r>
      <w:r w:rsidRPr="009B7892">
        <w:rPr>
          <w:strike/>
          <w:color w:val="auto"/>
        </w:rPr>
        <w:t>he provisions of</w:t>
      </w:r>
      <w:r w:rsidRPr="009B7892">
        <w:rPr>
          <w:color w:val="auto"/>
        </w:rPr>
        <w:t xml:space="preserve"> §29A-3-1 </w:t>
      </w:r>
      <w:r w:rsidRPr="009B7892">
        <w:rPr>
          <w:i/>
          <w:color w:val="auto"/>
        </w:rPr>
        <w:t>et seq</w:t>
      </w:r>
      <w:r w:rsidRPr="009B7892">
        <w:rPr>
          <w:color w:val="auto"/>
        </w:rPr>
        <w:t xml:space="preserve">. of this code for application for registration, transmission of applications, reporting and maintenance of records required by the provisions of this article and for the development, implementation and application of other provisions of this article: </w:t>
      </w:r>
      <w:r w:rsidRPr="009B7892">
        <w:rPr>
          <w:i/>
          <w:color w:val="auto"/>
          <w:u w:val="single"/>
        </w:rPr>
        <w:t>Provided,</w:t>
      </w:r>
      <w:r w:rsidRPr="009B7892">
        <w:rPr>
          <w:color w:val="auto"/>
          <w:u w:val="single"/>
        </w:rPr>
        <w:t xml:space="preserve"> That these rules shall include the provision that voter registration identification cards may contain a photograph of the voter or that voter registration information such as county and precinct may also be printed on driver’s licenses or state-issued identification cards issued under §17B-2-1 </w:t>
      </w:r>
      <w:r w:rsidRPr="009B7892">
        <w:rPr>
          <w:i/>
          <w:color w:val="auto"/>
          <w:u w:val="single"/>
        </w:rPr>
        <w:t>et seq</w:t>
      </w:r>
      <w:r w:rsidRPr="009B7892">
        <w:rPr>
          <w:color w:val="auto"/>
          <w:u w:val="single"/>
        </w:rPr>
        <w:t>. of this code and that this provision is effective beginning January 1, 2022.</w:t>
      </w:r>
    </w:p>
    <w:p w14:paraId="791685FA" w14:textId="77777777" w:rsidR="001605AA" w:rsidRPr="009B7892" w:rsidRDefault="001605AA" w:rsidP="001605AA">
      <w:pPr>
        <w:pStyle w:val="SectionBody"/>
        <w:rPr>
          <w:color w:val="auto"/>
          <w:u w:val="single"/>
        </w:rPr>
      </w:pPr>
      <w:r w:rsidRPr="009B7892">
        <w:rPr>
          <w:color w:val="auto"/>
          <w:u w:val="single"/>
        </w:rPr>
        <w:t>(d) The Secretary of State in cooperation with the Commissioner of Motor Vehicles may devise a plan for meeting the requirement that voter registration information such as county and precinct may be printed on driver’s licenses or state-issued identification cards issued under §17B-2-1 of this code.</w:t>
      </w:r>
    </w:p>
    <w:p w14:paraId="701EAF72" w14:textId="77777777" w:rsidR="001605AA" w:rsidRPr="009B7892" w:rsidRDefault="001605AA" w:rsidP="001605AA">
      <w:pPr>
        <w:pStyle w:val="ChapterHeading"/>
        <w:rPr>
          <w:color w:val="auto"/>
        </w:rPr>
        <w:sectPr w:rsidR="001605AA" w:rsidRPr="009B7892" w:rsidSect="004215C1">
          <w:type w:val="continuous"/>
          <w:pgSz w:w="12240" w:h="15840" w:code="1"/>
          <w:pgMar w:top="1440" w:right="1440" w:bottom="1440" w:left="1440" w:header="720" w:footer="720" w:gutter="0"/>
          <w:lnNumType w:countBy="1" w:restart="newSection"/>
          <w:cols w:space="720"/>
          <w:docGrid w:linePitch="360"/>
        </w:sectPr>
      </w:pPr>
      <w:r w:rsidRPr="009B7892">
        <w:rPr>
          <w:color w:val="auto"/>
        </w:rPr>
        <w:t>CHAPTER 17B. MOTOR VEHICLE DRIVER'S LICENSES.</w:t>
      </w:r>
    </w:p>
    <w:p w14:paraId="643D8A58" w14:textId="77777777" w:rsidR="001605AA" w:rsidRPr="009B7892" w:rsidRDefault="001605AA" w:rsidP="001605AA">
      <w:pPr>
        <w:pStyle w:val="ArticleHeading"/>
        <w:rPr>
          <w:color w:val="auto"/>
        </w:rPr>
        <w:sectPr w:rsidR="001605AA" w:rsidRPr="009B7892" w:rsidSect="004215C1">
          <w:type w:val="continuous"/>
          <w:pgSz w:w="12240" w:h="15840" w:code="1"/>
          <w:pgMar w:top="1440" w:right="1440" w:bottom="1440" w:left="1440" w:header="720" w:footer="720" w:gutter="0"/>
          <w:lnNumType w:countBy="1" w:restart="newSection"/>
          <w:cols w:space="720"/>
          <w:titlePg/>
          <w:docGrid w:linePitch="360"/>
        </w:sectPr>
      </w:pPr>
      <w:r w:rsidRPr="009B7892">
        <w:rPr>
          <w:color w:val="auto"/>
        </w:rPr>
        <w:t>ARTICLE 2. ISSUANCE OF LICENSE, EXPIRATION AND RENEWAL.</w:t>
      </w:r>
    </w:p>
    <w:p w14:paraId="27F13B65" w14:textId="77777777" w:rsidR="001605AA" w:rsidRPr="009B7892" w:rsidRDefault="001605AA" w:rsidP="00217C02">
      <w:pPr>
        <w:pStyle w:val="SectionHeading"/>
        <w:rPr>
          <w:color w:val="auto"/>
        </w:rPr>
        <w:sectPr w:rsidR="001605AA" w:rsidRPr="009B7892" w:rsidSect="004215C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9B7892">
        <w:rPr>
          <w:color w:val="auto"/>
        </w:rPr>
        <w:t>§17B-2-1.  Drivers must be licensed; types of licenses; licensees need not obtain local government license; motorcycle driver license; identification cards.</w:t>
      </w:r>
    </w:p>
    <w:p w14:paraId="6C805AF8" w14:textId="77777777" w:rsidR="001605AA" w:rsidRPr="009B7892" w:rsidRDefault="001605AA" w:rsidP="00217C02">
      <w:pPr>
        <w:pStyle w:val="SectionBody"/>
        <w:rPr>
          <w:color w:val="auto"/>
        </w:rPr>
      </w:pPr>
      <w:r w:rsidRPr="009B7892">
        <w:rPr>
          <w:color w:val="auto"/>
        </w:rPr>
        <w:t>(a) (1) No person, except those hereinafter expressly exempted, may drive a motor vehicle upon a street or highway in this state or upon a subdivision street used by the public generally unless the person has a valid driver’s license issued pursuant to this code for the type or class of vehicle being driven.</w:t>
      </w:r>
    </w:p>
    <w:p w14:paraId="132ECEAA" w14:textId="77777777" w:rsidR="001605AA" w:rsidRPr="009B7892" w:rsidRDefault="001605AA" w:rsidP="00217C02">
      <w:pPr>
        <w:pStyle w:val="SectionBody"/>
        <w:rPr>
          <w:color w:val="auto"/>
        </w:rPr>
      </w:pPr>
      <w:r w:rsidRPr="009B7892">
        <w:rPr>
          <w:color w:val="auto"/>
        </w:rPr>
        <w:lastRenderedPageBreak/>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05BAF8E6" w14:textId="77777777" w:rsidR="001605AA" w:rsidRPr="009B7892" w:rsidRDefault="001605AA" w:rsidP="00217C02">
      <w:pPr>
        <w:pStyle w:val="SectionBody"/>
        <w:rPr>
          <w:color w:val="auto"/>
        </w:rPr>
      </w:pPr>
      <w:r w:rsidRPr="009B7892">
        <w:rPr>
          <w:color w:val="auto"/>
        </w:rPr>
        <w:t>(b) The division, upon issuing a driver’s license, shall indicate on the license the type or general class or classes of vehicles the licensee may operate in accordance with this code, federal law or rule.  Licenses shall be issued in different colors for those drivers under age 18, those drivers age 18 to 21 and adult drivers.  The commissioner is authorized to select and assign colors to the licenses of the various age groups.</w:t>
      </w:r>
    </w:p>
    <w:p w14:paraId="70EB3850"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(c) The following drivers’ licenses classifications are hereby established:</w:t>
      </w:r>
    </w:p>
    <w:p w14:paraId="0ADC4E13"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 xml:space="preserve">(1) A Class A, B or C license shall be issued to those persons 18 years of age or older with two years of driving experience who have qualified for the commercial driver’s license established by §17E-1-1 </w:t>
      </w:r>
      <w:r w:rsidRPr="009B7892">
        <w:rPr>
          <w:rFonts w:eastAsia="Calibri" w:cs="Times New Roman"/>
          <w:i/>
          <w:color w:val="auto"/>
        </w:rPr>
        <w:t>et seq</w:t>
      </w:r>
      <w:r w:rsidRPr="009B7892">
        <w:rPr>
          <w:rFonts w:eastAsia="Calibri" w:cs="Times New Roman"/>
          <w:color w:val="auto"/>
        </w:rPr>
        <w:t>. of this code and the federal Motor Carrier Safety and Improvement Act of 1999 and subsequent rules and have paid the required fee.</w:t>
      </w:r>
    </w:p>
    <w:p w14:paraId="40ABEFDE"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 xml:space="preserve">(2) A Class D license shall be issued to those persons 18 years and older with one year of driving experience who operate motor vehicles other than those types of vehicles which require the operator to be licensed under the provisions of §17E-1-1 </w:t>
      </w:r>
      <w:r w:rsidRPr="009B7892">
        <w:rPr>
          <w:rFonts w:eastAsia="Calibri" w:cs="Times New Roman"/>
          <w:i/>
          <w:color w:val="auto"/>
        </w:rPr>
        <w:t>et seq</w:t>
      </w:r>
      <w:r w:rsidRPr="009B7892">
        <w:rPr>
          <w:rFonts w:eastAsia="Calibri" w:cs="Times New Roman"/>
          <w:color w:val="auto"/>
        </w:rPr>
        <w:t xml:space="preserve">. of this code and federal law and rule and whose primary function or employment is the transportation of persons or property for compensation or wages and have paid the required fee.  For the purpose of regulating the operation of motor vehicles, wherever the term “chauffeur’s license” is used in this code, it means the Class A, B, C or D license described in this section or §17E-1-1 </w:t>
      </w:r>
      <w:r w:rsidRPr="009B7892">
        <w:rPr>
          <w:rFonts w:eastAsia="Calibri" w:cs="Times New Roman"/>
          <w:i/>
          <w:color w:val="auto"/>
        </w:rPr>
        <w:t>et seq</w:t>
      </w:r>
      <w:r w:rsidRPr="009B7892">
        <w:rPr>
          <w:rFonts w:eastAsia="Calibri" w:cs="Times New Roman"/>
          <w:color w:val="auto"/>
        </w:rPr>
        <w:t xml:space="preserve">. of this code or federal law or rule: </w:t>
      </w:r>
      <w:r w:rsidRPr="009B7892">
        <w:rPr>
          <w:rFonts w:eastAsia="Calibri" w:cs="Times New Roman"/>
          <w:i/>
          <w:color w:val="auto"/>
        </w:rPr>
        <w:t>Provided</w:t>
      </w:r>
      <w:r w:rsidRPr="009B7892">
        <w:rPr>
          <w:rFonts w:eastAsia="Calibri" w:cs="Times New Roman"/>
          <w:color w:val="auto"/>
        </w:rPr>
        <w:t xml:space="preserve">, That anyone not required to be licensed under the provisions of §17E-1-1 </w:t>
      </w:r>
      <w:r w:rsidRPr="009B7892">
        <w:rPr>
          <w:rFonts w:eastAsia="Calibri" w:cs="Times New Roman"/>
          <w:i/>
          <w:color w:val="auto"/>
        </w:rPr>
        <w:t>et seq</w:t>
      </w:r>
      <w:r w:rsidRPr="009B7892">
        <w:rPr>
          <w:rFonts w:eastAsia="Calibri" w:cs="Times New Roman"/>
          <w:color w:val="auto"/>
        </w:rPr>
        <w:t>. of this code and federal law or rule and who operates a motor vehicle registered or required to be registered as a Class A motor vehicle, as that term is defined in §17A-10-1 of this code, with a gross vehicle weight rating of less than 8,001 pounds, is not required to obtain a Class D license.</w:t>
      </w:r>
    </w:p>
    <w:p w14:paraId="1F1DDDA2"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 xml:space="preserve">(3) A Class E license shall be issued to persons who have qualified for a driver’s license </w:t>
      </w:r>
      <w:r w:rsidRPr="009B7892">
        <w:rPr>
          <w:rFonts w:eastAsia="Calibri" w:cs="Times New Roman"/>
          <w:color w:val="auto"/>
        </w:rPr>
        <w:lastRenderedPageBreak/>
        <w:t>under the provisions of this chapter and who are not required to obtain a Class A, B, C or D license and who have paid the required fee.  The Class E license may be endorsed under the provisions of §17B-2-7b of this code for motorcycle operation. The Class E or G license for a person under the age of 18 may also be endorsed with the appropriate graduated driver license level in accordance with the provisions of §17B-2-3a of this code.</w:t>
      </w:r>
    </w:p>
    <w:p w14:paraId="57CC5C5A"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(4) A Class F license shall be issued to those persons who successfully complete the motorcycle examination procedure provided by this chapter and have paid the required fee but who do not possess a Class A, B, C, D or E driver’s license.</w:t>
      </w:r>
    </w:p>
    <w:p w14:paraId="55FFD3FE"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 xml:space="preserve">(5) A Class G driver’s license or instruction permit shall be issued to a person using bioptic telescopic lenses who has successfully completed an approved driver training program and complied with all other requirements of §17B-2B-1 </w:t>
      </w:r>
      <w:r w:rsidRPr="009B7892">
        <w:rPr>
          <w:rFonts w:eastAsia="Calibri" w:cs="Times New Roman"/>
          <w:i/>
          <w:color w:val="auto"/>
        </w:rPr>
        <w:t>et seq.</w:t>
      </w:r>
      <w:r w:rsidRPr="009B7892">
        <w:rPr>
          <w:rFonts w:eastAsia="Calibri" w:cs="Times New Roman"/>
          <w:color w:val="auto"/>
        </w:rPr>
        <w:t xml:space="preserve"> of this code.</w:t>
      </w:r>
    </w:p>
    <w:p w14:paraId="5274954F"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(d) All licenses issued under this section may contain information designating the licensee as a diabetic, organ donor, as deaf or hard-of-hearing, as having any other handicap or disability or that the licensee is an honorably discharged veteran of any branch of the armed forces of the United States, according to criteria established by the division, if the licensee requests this 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5D90CFF7"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(e) No person, except those hereinafter expressly exempted, may drive a motorcycle on a street or highway in this state or on a subdivision street used by the public generally unless the person has a valid motorcycle license, a valid license which has been endorsed under §17B-2-7b of this code for motorcycle operation or a valid motorcycle instruction permit.</w:t>
      </w:r>
    </w:p>
    <w:p w14:paraId="17870F86"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(f) (1) An identification card may be issued to a person who:</w:t>
      </w:r>
    </w:p>
    <w:p w14:paraId="336B4486"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(A) Is a resident of this state in accordance with the provisions of §17A-3-1a of this code;</w:t>
      </w:r>
    </w:p>
    <w:p w14:paraId="35308F0A"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 xml:space="preserve">(B) Has reached the age of two years or, for good cause shown, under the age of two. </w:t>
      </w:r>
    </w:p>
    <w:p w14:paraId="22EC3B9D"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lastRenderedPageBreak/>
        <w:t xml:space="preserve">(C) Has paid the required fee of $5 per year. The Division of Motor Vehicles may adjust this fee every five years on September 1, based on the U. S. Department of Labor, Bureau of Labor Statistics most current Consumer Price Index: </w:t>
      </w:r>
      <w:r w:rsidRPr="009B7892">
        <w:rPr>
          <w:rFonts w:eastAsia="Calibri" w:cs="Times New Roman"/>
          <w:i/>
          <w:color w:val="auto"/>
        </w:rPr>
        <w:t>Provided</w:t>
      </w:r>
      <w:r w:rsidRPr="009B7892">
        <w:rPr>
          <w:rFonts w:eastAsia="Calibri" w:cs="Times New Roman"/>
          <w:color w:val="auto"/>
        </w:rPr>
        <w:t xml:space="preserve">, That an increase in such fee may not exceed 10 percent of the total fee amount in a single year: </w:t>
      </w:r>
      <w:r w:rsidRPr="009B7892">
        <w:rPr>
          <w:rFonts w:eastAsia="Calibri" w:cs="Times New Roman"/>
          <w:i/>
          <w:color w:val="auto"/>
        </w:rPr>
        <w:t>Provided</w:t>
      </w:r>
      <w:r w:rsidRPr="009B7892">
        <w:rPr>
          <w:rFonts w:eastAsia="Calibri" w:cs="Times New Roman"/>
          <w:color w:val="auto"/>
        </w:rPr>
        <w:t xml:space="preserve">, </w:t>
      </w:r>
      <w:r w:rsidRPr="009B7892">
        <w:rPr>
          <w:rFonts w:eastAsia="Calibri" w:cs="Times New Roman"/>
          <w:i/>
          <w:color w:val="auto"/>
        </w:rPr>
        <w:t>however</w:t>
      </w:r>
      <w:r w:rsidRPr="009B7892">
        <w:rPr>
          <w:rFonts w:eastAsia="Calibri" w:cs="Times New Roman"/>
          <w:color w:val="auto"/>
        </w:rPr>
        <w:t xml:space="preserve">, That no fees or charges, including renewal fees, are required if the applicant: </w:t>
      </w:r>
    </w:p>
    <w:p w14:paraId="5BB7CCBA"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 xml:space="preserve">(i) Is 65 years or older; </w:t>
      </w:r>
    </w:p>
    <w:p w14:paraId="3535DB7B"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(ii) Is legally blind; or</w:t>
      </w:r>
    </w:p>
    <w:p w14:paraId="6E31C457"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(iii) Will be at least 18 years of age at the next general, municipal or special election and intends to use this identification card as a form of identification for voting; and</w:t>
      </w:r>
    </w:p>
    <w:p w14:paraId="06462276"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(D) Presents a birth certificate or other proof of age and identity acceptable to the division with a completed application on a form furnished by the division.</w:t>
      </w:r>
    </w:p>
    <w:p w14:paraId="4BA4CF39"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(2) The identification card shall contain the same information as a driver’s license except that the identification card shall be clearly marked as an identification card. The division may issue an identification card with less information to persons under the age of 16. An identification card may be renewed annually on application and payment of the fee required by this section.</w:t>
      </w:r>
    </w:p>
    <w:p w14:paraId="0CAEAD0E"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(A) Every identification card issued to a person who has attained his or her 21st birthday expires on the licensee’s birthday in those years in which the licensee’s age is evenly divisible by five.  Except as provided in paragraph (B) of this subdivision, no identification card may be issued for less than three years or for more than seven years and expires on the licensee’s birthday in those years in which the licensee’s age is evenly divisible by five.</w:t>
      </w:r>
    </w:p>
    <w:p w14:paraId="2431A26B"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(B) Every identification card issued to a person who has not attained his or her 21st birthday expires 30 days after the licensee’s 21st birthday.</w:t>
      </w:r>
    </w:p>
    <w:p w14:paraId="1F309C6B"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(C) Every identification card issued to persons under the age of 16 shall be issued for a period of two years and expire on the last day of the month in which the applicant’s birthday occurs.</w:t>
      </w:r>
    </w:p>
    <w:p w14:paraId="26ED7B88"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 xml:space="preserve">(3) The division may issue an identification card to an applicant whose privilege to operate </w:t>
      </w:r>
      <w:r w:rsidRPr="009B7892">
        <w:rPr>
          <w:rFonts w:eastAsia="Calibri" w:cs="Times New Roman"/>
          <w:color w:val="auto"/>
        </w:rPr>
        <w:lastRenderedPageBreak/>
        <w:t>a motor vehicle has been refused, canceled, suspended or revoked under the provisions of this code.</w:t>
      </w:r>
    </w:p>
    <w:p w14:paraId="7FA8CEE5"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(g) For any person over the age of 50 years who wishes to obtain a driver’s license or identification card under the provisions of this section:</w:t>
      </w:r>
    </w:p>
    <w:p w14:paraId="0A1613C4"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 xml:space="preserve">(1) A raised seal or stamp on the birth certificate or certified copy of the birth certificate is not required if the issuing jurisdiction does not require one; and </w:t>
      </w:r>
    </w:p>
    <w:p w14:paraId="0C010153"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(2) If documents are lacking to prove all changes of name in the history of any such applicant, applicants renewing a driver’s license or identification card under the provisions of this section may complete a Name Variance Approval Document as instituted by the division, so long as they can provide:</w:t>
      </w:r>
    </w:p>
    <w:p w14:paraId="1D9C8CB2"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(A) Proof of identity;</w:t>
      </w:r>
    </w:p>
    <w:p w14:paraId="19CE3D57"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(B) Proof of residency; and</w:t>
      </w:r>
    </w:p>
    <w:p w14:paraId="181400AF"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(C) A valid Social Security number.</w:t>
      </w:r>
    </w:p>
    <w:p w14:paraId="526AF764"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(3) The division may waive any documents necessary to prove a match between names, so long as the division determines the person is not attempting to:</w:t>
      </w:r>
    </w:p>
    <w:p w14:paraId="6CA18B8C"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(A) Change his or her identity;</w:t>
      </w:r>
    </w:p>
    <w:p w14:paraId="0C7359FF"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(B) Assume another person’s identity; or</w:t>
      </w:r>
    </w:p>
    <w:p w14:paraId="405040E9"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(C) Commit a fraud.</w:t>
      </w:r>
    </w:p>
    <w:p w14:paraId="61D70A1A"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(h) A person over the age of 70 years, or who is on Social Security disability, who wishes to obtain or renew a driver’s license or identification card under the provisions of this section, may not be required to furnish a copy of a birth certificate if they can provide:</w:t>
      </w:r>
    </w:p>
    <w:p w14:paraId="11AB7106"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(1) Proof of identity;</w:t>
      </w:r>
    </w:p>
    <w:p w14:paraId="791BA408"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 xml:space="preserve">(2) Proof of residency; </w:t>
      </w:r>
    </w:p>
    <w:p w14:paraId="3470B13B"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(3) A valid Social Security number; and</w:t>
      </w:r>
    </w:p>
    <w:p w14:paraId="624BF4AE"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(4) One of the following identifying items:</w:t>
      </w:r>
    </w:p>
    <w:p w14:paraId="16F6A5A8"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(A) A form of military identification, including a DD214 or equivalent;</w:t>
      </w:r>
    </w:p>
    <w:p w14:paraId="0F3DEDD5"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lastRenderedPageBreak/>
        <w:t>(B) A U. S. passport, whether valid or expired;</w:t>
      </w:r>
    </w:p>
    <w:p w14:paraId="55D9C903"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 xml:space="preserve">(C) School records, including a yearbook; </w:t>
      </w:r>
    </w:p>
    <w:p w14:paraId="1F01609E"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(D) A religious document, that in the judgment of the division is sufficient and authentic to reflect that the person was born in the United States; or</w:t>
      </w:r>
    </w:p>
    <w:p w14:paraId="12E44FCA"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(E) An expired driver’s license, employment identification card, or other reliable identification card with a recognizable photograph of the person.</w:t>
      </w:r>
    </w:p>
    <w:p w14:paraId="5BD5A94F" w14:textId="77777777" w:rsidR="001605AA" w:rsidRPr="009B7892" w:rsidRDefault="001605AA" w:rsidP="001605AA">
      <w:pPr>
        <w:widowControl w:val="0"/>
        <w:ind w:firstLine="720"/>
        <w:jc w:val="both"/>
        <w:rPr>
          <w:rFonts w:eastAsia="Calibri" w:cs="Times New Roman"/>
          <w:color w:val="auto"/>
        </w:rPr>
      </w:pPr>
      <w:r w:rsidRPr="009B7892">
        <w:rPr>
          <w:rFonts w:eastAsia="Calibri" w:cs="Times New Roman"/>
          <w:color w:val="auto"/>
        </w:rPr>
        <w:t>(i) Any person violating the provisions of this section is guilty of a misdemeanor and, upon conviction, shall be fined not more than $500 and, upon a second or subsequent conviction, shall be fined not more than $500 or confined in jail not more than six months, or both fined and confined.</w:t>
      </w:r>
    </w:p>
    <w:p w14:paraId="2ECD2CFE" w14:textId="7ACBE206" w:rsidR="001605AA" w:rsidRPr="009B7892" w:rsidRDefault="001605AA" w:rsidP="001605AA">
      <w:pPr>
        <w:ind w:firstLine="720"/>
        <w:jc w:val="both"/>
        <w:rPr>
          <w:color w:val="auto"/>
          <w:u w:val="single"/>
        </w:rPr>
      </w:pPr>
      <w:r w:rsidRPr="009B7892">
        <w:rPr>
          <w:color w:val="auto"/>
          <w:u w:val="single"/>
        </w:rPr>
        <w:t xml:space="preserve">(j) The Commissioner of Motor Vehicles in cooperation with the Secretary of State may devise a plan for meeting the requirement that voter registration information such as county and precinct may be printed on driver’s licenses or state issued identification cards issued under this section. The commissioner may propose rules for legislative approval in accordance with §29A-3-1 </w:t>
      </w:r>
      <w:r w:rsidRPr="009B7892">
        <w:rPr>
          <w:i/>
          <w:color w:val="auto"/>
          <w:u w:val="single"/>
        </w:rPr>
        <w:t>et seq</w:t>
      </w:r>
      <w:r w:rsidRPr="009B7892">
        <w:rPr>
          <w:color w:val="auto"/>
          <w:u w:val="single"/>
        </w:rPr>
        <w:t xml:space="preserve">. of this code for the development, implementation and application of this plan as it applies to driver’s license and state issued identification cards: </w:t>
      </w:r>
      <w:r w:rsidRPr="009B7892">
        <w:rPr>
          <w:i/>
          <w:color w:val="auto"/>
          <w:u w:val="single"/>
        </w:rPr>
        <w:t>Provided,</w:t>
      </w:r>
      <w:r w:rsidRPr="009B7892">
        <w:rPr>
          <w:color w:val="auto"/>
          <w:u w:val="single"/>
        </w:rPr>
        <w:t xml:space="preserve"> That if this plan is approved, this requirement is effective beginning January 1, 2022.</w:t>
      </w:r>
    </w:p>
    <w:p w14:paraId="1043D854" w14:textId="77777777" w:rsidR="001605AA" w:rsidRPr="009B7892" w:rsidRDefault="001605AA" w:rsidP="001605AA">
      <w:pPr>
        <w:pStyle w:val="Note"/>
        <w:rPr>
          <w:color w:val="auto"/>
        </w:rPr>
      </w:pPr>
      <w:r w:rsidRPr="009B7892">
        <w:rPr>
          <w:color w:val="auto"/>
        </w:rPr>
        <w:t xml:space="preserve">NOTE: The purpose of this bill is to </w:t>
      </w:r>
      <w:r w:rsidRPr="009B7892">
        <w:rPr>
          <w:rFonts w:cs="Arial"/>
          <w:color w:val="auto"/>
        </w:rPr>
        <w:t xml:space="preserve">require photo identification on voter registration identification cards. The bill also provides that voter registration information may also be required on drivers’ licenses or state issued identification cards if so determined by the </w:t>
      </w:r>
      <w:r w:rsidRPr="009B7892">
        <w:rPr>
          <w:rFonts w:cs="Times New Roman"/>
          <w:color w:val="auto"/>
        </w:rPr>
        <w:t>Secretary of State in cooperation with the Commissioner of Motor Vehicles</w:t>
      </w:r>
      <w:r w:rsidRPr="009B7892">
        <w:rPr>
          <w:rFonts w:cs="Arial"/>
          <w:color w:val="auto"/>
        </w:rPr>
        <w:t>.</w:t>
      </w:r>
    </w:p>
    <w:p w14:paraId="15CED001" w14:textId="77777777" w:rsidR="001605AA" w:rsidRPr="009B7892" w:rsidRDefault="001605AA" w:rsidP="001605AA">
      <w:pPr>
        <w:pStyle w:val="Note"/>
        <w:rPr>
          <w:color w:val="auto"/>
        </w:rPr>
      </w:pPr>
      <w:r w:rsidRPr="009B7892">
        <w:rPr>
          <w:color w:val="auto"/>
        </w:rPr>
        <w:t>Strike-throughs indicate language that would be stricken from a heading or the present law and underscoring indicates new language that would be added.</w:t>
      </w:r>
    </w:p>
    <w:p w14:paraId="3C3CD227" w14:textId="364334DB" w:rsidR="006865E9" w:rsidRPr="009B7892" w:rsidRDefault="006865E9" w:rsidP="00CC1F3B">
      <w:pPr>
        <w:pStyle w:val="Note"/>
        <w:rPr>
          <w:color w:val="auto"/>
        </w:rPr>
      </w:pPr>
    </w:p>
    <w:sectPr w:rsidR="006865E9" w:rsidRPr="009B7892" w:rsidSect="004215C1">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DA4B2" w14:textId="77777777" w:rsidR="005A3DAE" w:rsidRPr="00B844FE" w:rsidRDefault="005A3DAE" w:rsidP="00B844FE">
      <w:r>
        <w:separator/>
      </w:r>
    </w:p>
  </w:endnote>
  <w:endnote w:type="continuationSeparator" w:id="0">
    <w:p w14:paraId="7072CB3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880853"/>
      <w:docPartObj>
        <w:docPartGallery w:val="Page Numbers (Bottom of Page)"/>
        <w:docPartUnique/>
      </w:docPartObj>
    </w:sdtPr>
    <w:sdtEndPr/>
    <w:sdtContent>
      <w:p w14:paraId="753C60AC" w14:textId="77777777" w:rsidR="001605AA" w:rsidRPr="00B844FE" w:rsidRDefault="001605A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855AA49" w14:textId="77777777" w:rsidR="001605AA" w:rsidRDefault="001605A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124414"/>
      <w:docPartObj>
        <w:docPartGallery w:val="Page Numbers (Bottom of Page)"/>
        <w:docPartUnique/>
      </w:docPartObj>
    </w:sdtPr>
    <w:sdtEndPr>
      <w:rPr>
        <w:noProof/>
      </w:rPr>
    </w:sdtEndPr>
    <w:sdtContent>
      <w:p w14:paraId="37AB17AF" w14:textId="77777777" w:rsidR="001605AA" w:rsidRDefault="001605AA"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12A92" w14:textId="77777777" w:rsidR="002A7F69" w:rsidRDefault="002A7F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EA186" w14:textId="77777777" w:rsidR="001605AA" w:rsidRPr="00C72FA1" w:rsidRDefault="001605AA" w:rsidP="00C72F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FF6F" w14:textId="77777777" w:rsidR="001605AA" w:rsidRPr="00C72FA1" w:rsidRDefault="001605AA" w:rsidP="00C72F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90B5" w14:textId="77777777" w:rsidR="001605AA" w:rsidRPr="00C72FA1" w:rsidRDefault="001605AA" w:rsidP="00C72F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17C81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76861B" w14:textId="77777777" w:rsidR="002A0269" w:rsidRDefault="002A0269"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A32D9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34D7C" w14:textId="77777777" w:rsidR="005A3DAE" w:rsidRPr="00B844FE" w:rsidRDefault="005A3DAE" w:rsidP="00B844FE">
      <w:r>
        <w:separator/>
      </w:r>
    </w:p>
  </w:footnote>
  <w:footnote w:type="continuationSeparator" w:id="0">
    <w:p w14:paraId="12CBE3C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8ADC8" w14:textId="787CB37E" w:rsidR="001605AA" w:rsidRPr="00B844FE" w:rsidRDefault="00BB4275">
    <w:pPr>
      <w:pStyle w:val="Header"/>
    </w:pPr>
    <w:sdt>
      <w:sdtPr>
        <w:id w:val="78805252"/>
        <w:placeholder>
          <w:docPart w:val="543F7F9FAEAE4ECD8FBE26096A4517D4"/>
        </w:placeholder>
        <w:temporary/>
        <w:showingPlcHdr/>
        <w15:appearance w15:val="hidden"/>
      </w:sdtPr>
      <w:sdtEndPr/>
      <w:sdtContent>
        <w:r w:rsidR="00A82557" w:rsidRPr="00B844FE">
          <w:t>[Type here]</w:t>
        </w:r>
      </w:sdtContent>
    </w:sdt>
    <w:r w:rsidR="001605AA" w:rsidRPr="00B844FE">
      <w:ptab w:relativeTo="margin" w:alignment="left" w:leader="none"/>
    </w:r>
    <w:sdt>
      <w:sdtPr>
        <w:id w:val="-194617737"/>
        <w:placeholder>
          <w:docPart w:val="543F7F9FAEAE4ECD8FBE26096A4517D4"/>
        </w:placeholder>
        <w:temporary/>
        <w:showingPlcHdr/>
        <w15:appearance w15:val="hidden"/>
      </w:sdtPr>
      <w:sdtEndPr/>
      <w:sdtContent>
        <w:r w:rsidR="00A8255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8CED" w14:textId="6F1CD9D7" w:rsidR="001605AA" w:rsidRPr="00C33014" w:rsidRDefault="001605AA" w:rsidP="000573A9">
    <w:pPr>
      <w:pStyle w:val="HeaderStyle"/>
    </w:pPr>
    <w:r>
      <w:t xml:space="preserve">Intr SB </w:t>
    </w:r>
    <w:r w:rsidR="002A7F69">
      <w:t>54</w:t>
    </w:r>
    <w:r w:rsidRPr="002A0269">
      <w:ptab w:relativeTo="margin" w:alignment="center" w:leader="none"/>
    </w:r>
    <w:r>
      <w:tab/>
    </w:r>
    <w:sdt>
      <w:sdtPr>
        <w:rPr>
          <w:color w:val="auto"/>
        </w:rPr>
        <w:alias w:val="CBD Number"/>
        <w:tag w:val="CBD Number"/>
        <w:id w:val="1468934831"/>
        <w:placeholder>
          <w:docPart w:val="2B401F96366B4122A82EC55A3A35AA5C"/>
        </w:placeholder>
        <w:text/>
      </w:sdtPr>
      <w:sdtEndPr/>
      <w:sdtContent>
        <w:r w:rsidRPr="001D0B3E">
          <w:rPr>
            <w:color w:val="auto"/>
          </w:rPr>
          <w:t>20</w:t>
        </w:r>
        <w:r>
          <w:rPr>
            <w:color w:val="auto"/>
          </w:rPr>
          <w:t>21R1463</w:t>
        </w:r>
      </w:sdtContent>
    </w:sdt>
  </w:p>
  <w:p w14:paraId="441744A7" w14:textId="77777777" w:rsidR="001605AA" w:rsidRPr="00C33014" w:rsidRDefault="001605A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A60A" w14:textId="0A40BCE5" w:rsidR="001605AA" w:rsidRDefault="001605AA">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23A3B" w14:textId="77777777" w:rsidR="001605AA" w:rsidRPr="00C72FA1" w:rsidRDefault="001605AA" w:rsidP="00C72F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CC09" w14:textId="77777777" w:rsidR="001605AA" w:rsidRPr="00C33014" w:rsidRDefault="001605AA" w:rsidP="005B7396">
    <w:pPr>
      <w:pStyle w:val="HeaderStyle"/>
    </w:pPr>
    <w:r>
      <w:t xml:space="preserve">Intr SB </w:t>
    </w:r>
    <w:r w:rsidRPr="002A0269">
      <w:ptab w:relativeTo="margin" w:alignment="center" w:leader="none"/>
    </w:r>
    <w:r>
      <w:tab/>
    </w:r>
    <w:sdt>
      <w:sdtPr>
        <w:rPr>
          <w:color w:val="auto"/>
        </w:rPr>
        <w:alias w:val="CBD Number"/>
        <w:tag w:val="CBD Number"/>
        <w:id w:val="273446333"/>
        <w:placeholder>
          <w:docPart w:val="720846B66EB3454C8389D0E4BB2251E6"/>
        </w:placeholder>
        <w:text/>
      </w:sdtPr>
      <w:sdtEndPr/>
      <w:sdtContent>
        <w:r w:rsidRPr="001D0B3E">
          <w:rPr>
            <w:color w:val="auto"/>
          </w:rPr>
          <w:t>20</w:t>
        </w:r>
        <w:r>
          <w:rPr>
            <w:color w:val="auto"/>
          </w:rPr>
          <w:t>20R1203</w:t>
        </w:r>
      </w:sdtContent>
    </w:sdt>
  </w:p>
  <w:p w14:paraId="638245BE" w14:textId="77777777" w:rsidR="001605AA" w:rsidRPr="005B7396" w:rsidRDefault="001605AA" w:rsidP="005B73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6E6B" w14:textId="77777777" w:rsidR="001605AA" w:rsidRPr="00C72FA1" w:rsidRDefault="001605AA" w:rsidP="00C72F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EB8B6" w14:textId="77777777" w:rsidR="002A0269" w:rsidRPr="00B844FE" w:rsidRDefault="00BB4275">
    <w:pPr>
      <w:pStyle w:val="Header"/>
    </w:pPr>
    <w:sdt>
      <w:sdtPr>
        <w:id w:val="-684364211"/>
        <w:placeholder>
          <w:docPart w:val="974FC4634D6B402791BA05E2663E574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213D57792864753B25FE0159A905A3C"/>
        </w:placeholder>
        <w:temporary/>
        <w:showingPlcHdr/>
        <w15:appearance w15:val="hidden"/>
      </w:sdtPr>
      <w:sdtEndPr/>
      <w:sdtContent>
        <w:r w:rsidR="00CC1F3B"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10DE" w14:textId="74D6053C" w:rsidR="00C33014" w:rsidRPr="00C33014" w:rsidRDefault="00AE48A0" w:rsidP="000573A9">
    <w:pPr>
      <w:pStyle w:val="HeaderStyle"/>
    </w:pPr>
    <w:r>
      <w:t>I</w:t>
    </w:r>
    <w:r w:rsidR="001A66B7">
      <w:t xml:space="preserve">ntr </w:t>
    </w:r>
    <w:r w:rsidR="001605AA">
      <w:t>SB</w:t>
    </w:r>
    <w:r w:rsidR="002A7F69">
      <w:t xml:space="preserve"> 54</w:t>
    </w:r>
    <w:r w:rsidR="00C33014" w:rsidRPr="002A0269">
      <w:ptab w:relativeTo="margin" w:alignment="center" w:leader="none"/>
    </w:r>
    <w:r w:rsidR="00C33014">
      <w:tab/>
    </w:r>
    <w:sdt>
      <w:sdtPr>
        <w:alias w:val="CBD Number"/>
        <w:tag w:val="CBD Number"/>
        <w:id w:val="1176923086"/>
        <w:lock w:val="sdtLocked"/>
        <w:text/>
      </w:sdtPr>
      <w:sdtEndPr/>
      <w:sdtContent>
        <w:r w:rsidR="001605AA">
          <w:t>2021R1463</w:t>
        </w:r>
      </w:sdtContent>
    </w:sdt>
  </w:p>
  <w:p w14:paraId="7173EC63" w14:textId="77777777" w:rsidR="00E831B3" w:rsidRPr="00C33014" w:rsidRDefault="00E831B3"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0ECB4" w14:textId="77777777" w:rsidR="002A0269" w:rsidRPr="002A0269" w:rsidRDefault="00BB427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2407097984C74A0B8D434E6CF597CA27"/>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605AA"/>
    <w:rsid w:val="001A66B7"/>
    <w:rsid w:val="001C279E"/>
    <w:rsid w:val="001D459E"/>
    <w:rsid w:val="00217C02"/>
    <w:rsid w:val="0027011C"/>
    <w:rsid w:val="00274200"/>
    <w:rsid w:val="00275740"/>
    <w:rsid w:val="002A0269"/>
    <w:rsid w:val="002A7F69"/>
    <w:rsid w:val="00303684"/>
    <w:rsid w:val="003143F5"/>
    <w:rsid w:val="00314854"/>
    <w:rsid w:val="00394191"/>
    <w:rsid w:val="003C51CD"/>
    <w:rsid w:val="004215C1"/>
    <w:rsid w:val="004368E0"/>
    <w:rsid w:val="004B09F2"/>
    <w:rsid w:val="004C13DD"/>
    <w:rsid w:val="004D36C4"/>
    <w:rsid w:val="004E3441"/>
    <w:rsid w:val="00500579"/>
    <w:rsid w:val="00511A61"/>
    <w:rsid w:val="005A3DAE"/>
    <w:rsid w:val="005A5366"/>
    <w:rsid w:val="006369EB"/>
    <w:rsid w:val="00637E73"/>
    <w:rsid w:val="006865E9"/>
    <w:rsid w:val="00691F3E"/>
    <w:rsid w:val="00694BFB"/>
    <w:rsid w:val="006A106B"/>
    <w:rsid w:val="006C523D"/>
    <w:rsid w:val="006D207D"/>
    <w:rsid w:val="006D4036"/>
    <w:rsid w:val="00794889"/>
    <w:rsid w:val="007A5259"/>
    <w:rsid w:val="007A7081"/>
    <w:rsid w:val="007B510A"/>
    <w:rsid w:val="007F1CF5"/>
    <w:rsid w:val="00834EDE"/>
    <w:rsid w:val="008736AA"/>
    <w:rsid w:val="008D275D"/>
    <w:rsid w:val="00980327"/>
    <w:rsid w:val="00986478"/>
    <w:rsid w:val="009B5557"/>
    <w:rsid w:val="009B7892"/>
    <w:rsid w:val="009F1067"/>
    <w:rsid w:val="009F5FB3"/>
    <w:rsid w:val="00A31E01"/>
    <w:rsid w:val="00A527AD"/>
    <w:rsid w:val="00A718CF"/>
    <w:rsid w:val="00A82557"/>
    <w:rsid w:val="00AE48A0"/>
    <w:rsid w:val="00AE61BE"/>
    <w:rsid w:val="00B16F25"/>
    <w:rsid w:val="00B24422"/>
    <w:rsid w:val="00B66B81"/>
    <w:rsid w:val="00B80C20"/>
    <w:rsid w:val="00B844FE"/>
    <w:rsid w:val="00B86B4F"/>
    <w:rsid w:val="00BA1F84"/>
    <w:rsid w:val="00BB4275"/>
    <w:rsid w:val="00BC562B"/>
    <w:rsid w:val="00C33014"/>
    <w:rsid w:val="00C33434"/>
    <w:rsid w:val="00C34869"/>
    <w:rsid w:val="00C42EB6"/>
    <w:rsid w:val="00C85096"/>
    <w:rsid w:val="00C91145"/>
    <w:rsid w:val="00CB1ADC"/>
    <w:rsid w:val="00CB20EF"/>
    <w:rsid w:val="00CC1F3B"/>
    <w:rsid w:val="00CD12CB"/>
    <w:rsid w:val="00CD36CF"/>
    <w:rsid w:val="00CF1DCA"/>
    <w:rsid w:val="00D31122"/>
    <w:rsid w:val="00D40425"/>
    <w:rsid w:val="00D579FC"/>
    <w:rsid w:val="00D81C16"/>
    <w:rsid w:val="00DE526B"/>
    <w:rsid w:val="00DF199D"/>
    <w:rsid w:val="00E01542"/>
    <w:rsid w:val="00E365F1"/>
    <w:rsid w:val="00E62F48"/>
    <w:rsid w:val="00E654C8"/>
    <w:rsid w:val="00E831B3"/>
    <w:rsid w:val="00E95FBC"/>
    <w:rsid w:val="00EE70CB"/>
    <w:rsid w:val="00F41CA2"/>
    <w:rsid w:val="00F443C0"/>
    <w:rsid w:val="00F62EFB"/>
    <w:rsid w:val="00F939A4"/>
    <w:rsid w:val="00FA7B09"/>
    <w:rsid w:val="00FB20F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112DCE"/>
  <w15:chartTrackingRefBased/>
  <w15:docId w15:val="{0D785C19-6E06-414A-866E-ED6576C2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605AA"/>
    <w:rPr>
      <w:rFonts w:eastAsia="Calibri"/>
      <w:b/>
      <w:caps/>
      <w:color w:val="000000"/>
      <w:sz w:val="28"/>
    </w:rPr>
  </w:style>
  <w:style w:type="character" w:customStyle="1" w:styleId="ArticleHeadingChar">
    <w:name w:val="Article Heading Char"/>
    <w:link w:val="ArticleHeading"/>
    <w:rsid w:val="001605AA"/>
    <w:rPr>
      <w:rFonts w:eastAsia="Calibri"/>
      <w:b/>
      <w:caps/>
      <w:color w:val="000000"/>
      <w:sz w:val="24"/>
    </w:rPr>
  </w:style>
  <w:style w:type="character" w:customStyle="1" w:styleId="SectionHeadingChar">
    <w:name w:val="Section Heading Char"/>
    <w:link w:val="SectionHeading"/>
    <w:rsid w:val="001605A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C60D28">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C60D28" w:rsidP="00C60D28">
          <w:pPr>
            <w:pStyle w:val="7CD44D7481684EFBB2169CAE07E0AB863"/>
          </w:pPr>
          <w:r w:rsidRPr="009B789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B401F96366B4122A82EC55A3A35AA5C"/>
        <w:category>
          <w:name w:val="General"/>
          <w:gallery w:val="placeholder"/>
        </w:category>
        <w:types>
          <w:type w:val="bbPlcHdr"/>
        </w:types>
        <w:behaviors>
          <w:behavior w:val="content"/>
        </w:behaviors>
        <w:guid w:val="{6BFAD0C4-608E-4BC2-931E-170891E5CF07}"/>
      </w:docPartPr>
      <w:docPartBody>
        <w:p w:rsidR="008D3745" w:rsidRDefault="008D3745"/>
      </w:docPartBody>
    </w:docPart>
    <w:docPart>
      <w:docPartPr>
        <w:name w:val="720846B66EB3454C8389D0E4BB2251E6"/>
        <w:category>
          <w:name w:val="General"/>
          <w:gallery w:val="placeholder"/>
        </w:category>
        <w:types>
          <w:type w:val="bbPlcHdr"/>
        </w:types>
        <w:behaviors>
          <w:behavior w:val="content"/>
        </w:behaviors>
        <w:guid w:val="{B6CE4CB2-4BDF-41CF-819A-93B010948A2C}"/>
      </w:docPartPr>
      <w:docPartBody>
        <w:p w:rsidR="008D3745" w:rsidRDefault="0087789B" w:rsidP="0087789B">
          <w:pPr>
            <w:pStyle w:val="720846B66EB3454C8389D0E4BB2251E6"/>
          </w:pPr>
          <w:r>
            <w:rPr>
              <w:rStyle w:val="PlaceholderText"/>
            </w:rPr>
            <w:t>Click here to enter text.</w:t>
          </w:r>
        </w:p>
      </w:docPartBody>
    </w:docPart>
    <w:docPart>
      <w:docPartPr>
        <w:name w:val="974FC4634D6B402791BA05E2663E574D"/>
        <w:category>
          <w:name w:val="General"/>
          <w:gallery w:val="placeholder"/>
        </w:category>
        <w:types>
          <w:type w:val="bbPlcHdr"/>
        </w:types>
        <w:behaviors>
          <w:behavior w:val="content"/>
        </w:behaviors>
        <w:guid w:val="{1F9ABDE0-67EB-466A-A642-350E95BFF611}"/>
      </w:docPartPr>
      <w:docPartBody>
        <w:p w:rsidR="00C60D28" w:rsidRDefault="00C60D28">
          <w:r w:rsidRPr="00B844FE">
            <w:t>[Type here]</w:t>
          </w:r>
        </w:p>
      </w:docPartBody>
    </w:docPart>
    <w:docPart>
      <w:docPartPr>
        <w:name w:val="7213D57792864753B25FE0159A905A3C"/>
        <w:category>
          <w:name w:val="General"/>
          <w:gallery w:val="placeholder"/>
        </w:category>
        <w:types>
          <w:type w:val="bbPlcHdr"/>
        </w:types>
        <w:behaviors>
          <w:behavior w:val="content"/>
        </w:behaviors>
        <w:guid w:val="{ADE2F977-32B6-432D-A2C5-889E34090BE7}"/>
      </w:docPartPr>
      <w:docPartBody>
        <w:p w:rsidR="00C60D28" w:rsidRDefault="00C60D28">
          <w:r w:rsidRPr="00B844FE">
            <w:t>[Type here]</w:t>
          </w:r>
        </w:p>
      </w:docPartBody>
    </w:docPart>
    <w:docPart>
      <w:docPartPr>
        <w:name w:val="2407097984C74A0B8D434E6CF597CA27"/>
        <w:category>
          <w:name w:val="General"/>
          <w:gallery w:val="placeholder"/>
        </w:category>
        <w:types>
          <w:type w:val="bbPlcHdr"/>
        </w:types>
        <w:behaviors>
          <w:behavior w:val="content"/>
        </w:behaviors>
        <w:guid w:val="{8784B52F-48CD-4366-8843-70755448D1B8}"/>
      </w:docPartPr>
      <w:docPartBody>
        <w:p w:rsidR="00432EE7" w:rsidRDefault="00C60D28" w:rsidP="00C60D28">
          <w:pPr>
            <w:pStyle w:val="2407097984C74A0B8D434E6CF597CA2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32EE7"/>
    <w:rsid w:val="00791900"/>
    <w:rsid w:val="0081684A"/>
    <w:rsid w:val="0087789B"/>
    <w:rsid w:val="008D3745"/>
    <w:rsid w:val="00C6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C60D28"/>
    <w:rPr>
      <w:color w:val="808080"/>
    </w:rPr>
  </w:style>
  <w:style w:type="paragraph" w:customStyle="1" w:styleId="460D713500284C7FB4932CF3609CC106">
    <w:name w:val="460D713500284C7FB4932CF3609CC106"/>
  </w:style>
  <w:style w:type="paragraph" w:customStyle="1" w:styleId="720846B66EB3454C8389D0E4BB2251E6">
    <w:name w:val="720846B66EB3454C8389D0E4BB2251E6"/>
    <w:rsid w:val="0087789B"/>
  </w:style>
  <w:style w:type="paragraph" w:customStyle="1" w:styleId="7CD44D7481684EFBB2169CAE07E0AB863">
    <w:name w:val="7CD44D7481684EFBB2169CAE07E0AB863"/>
    <w:rsid w:val="00C60D28"/>
    <w:pPr>
      <w:suppressLineNumbers/>
      <w:spacing w:after="360" w:line="480" w:lineRule="auto"/>
      <w:jc w:val="center"/>
    </w:pPr>
    <w:rPr>
      <w:rFonts w:ascii="Arial" w:eastAsia="Calibri" w:hAnsi="Arial"/>
      <w:b/>
      <w:color w:val="000000"/>
      <w:sz w:val="44"/>
    </w:rPr>
  </w:style>
  <w:style w:type="paragraph" w:customStyle="1" w:styleId="2407097984C74A0B8D434E6CF597CA27">
    <w:name w:val="2407097984C74A0B8D434E6CF597CA27"/>
    <w:rsid w:val="00C60D28"/>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16</cp:revision>
  <dcterms:created xsi:type="dcterms:W3CDTF">2021-01-07T17:08:00Z</dcterms:created>
  <dcterms:modified xsi:type="dcterms:W3CDTF">2021-03-03T21:26:00Z</dcterms:modified>
</cp:coreProperties>
</file>